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КГД-12-2-19/1921-ВН от 26.01.2026</w:t>
      </w:r>
    </w:p>
    <w:p w14:paraId="240BBBF8" w14:textId="77777777" w:rsidR="007C56DB" w:rsidRDefault="007C56DB" w:rsidP="00B1128C">
      <w:pPr>
        <w:rPr>
          <w:rFonts w:ascii="Times New Roman" w:hAnsi="Times New Roman"/>
          <w:b/>
          <w:sz w:val="28"/>
          <w:szCs w:val="28"/>
        </w:rPr>
      </w:pPr>
    </w:p>
    <w:p w14:paraId="7136CEF7" w14:textId="77777777" w:rsidR="007C56DB" w:rsidRDefault="007C56DB" w:rsidP="00B42054">
      <w:pPr>
        <w:jc w:val="center"/>
        <w:rPr>
          <w:rFonts w:ascii="Times New Roman" w:hAnsi="Times New Roman"/>
          <w:b/>
          <w:sz w:val="28"/>
          <w:szCs w:val="28"/>
        </w:rPr>
      </w:pPr>
    </w:p>
    <w:p w14:paraId="5EAECA92" w14:textId="77777777" w:rsidR="00B42054" w:rsidRDefault="00B42054" w:rsidP="00B4205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</w:t>
      </w:r>
    </w:p>
    <w:p w14:paraId="729E3228" w14:textId="77777777" w:rsidR="00CA5000" w:rsidRPr="00CA5000" w:rsidRDefault="00CA5000" w:rsidP="00CA5000">
      <w:pPr>
        <w:jc w:val="center"/>
        <w:rPr>
          <w:rFonts w:ascii="Times New Roman" w:hAnsi="Times New Roman"/>
          <w:b/>
          <w:sz w:val="28"/>
          <w:szCs w:val="28"/>
        </w:rPr>
      </w:pPr>
      <w:r w:rsidRPr="00CA5000">
        <w:rPr>
          <w:rFonts w:ascii="Times New Roman" w:hAnsi="Times New Roman"/>
          <w:b/>
          <w:sz w:val="28"/>
          <w:szCs w:val="28"/>
        </w:rPr>
        <w:t xml:space="preserve">возможных общественно-политических, правовых, </w:t>
      </w:r>
    </w:p>
    <w:p w14:paraId="39F710AF" w14:textId="33BC0358" w:rsidR="00CA5000" w:rsidRPr="00CA5000" w:rsidRDefault="00CA5000" w:rsidP="00CA5000">
      <w:pPr>
        <w:jc w:val="center"/>
        <w:rPr>
          <w:rFonts w:ascii="Times New Roman" w:hAnsi="Times New Roman"/>
          <w:b/>
          <w:sz w:val="28"/>
          <w:szCs w:val="28"/>
        </w:rPr>
      </w:pPr>
      <w:r w:rsidRPr="00CA5000">
        <w:rPr>
          <w:rFonts w:ascii="Times New Roman" w:hAnsi="Times New Roman"/>
          <w:b/>
          <w:sz w:val="28"/>
          <w:szCs w:val="28"/>
        </w:rPr>
        <w:t>информационных и иных последствий принятия проекта приказа Министра финансов Республики Казахстан «Об утверждении списка стран, с которым вступил в силу международный договор, регулирующий вопросы избежания двойного налогообложения и предотвращения уклонения от уплаты налогов, номинальная ставка налога на прибыль которых составляет более 75 процентов от ставки корпоративного подоходного налога в Республике Казахстан»</w:t>
      </w:r>
    </w:p>
    <w:p w14:paraId="5647CFA2" w14:textId="77777777" w:rsidR="00C42749" w:rsidRDefault="00CA5000" w:rsidP="00700869">
      <w:pPr>
        <w:jc w:val="center"/>
        <w:rPr>
          <w:rFonts w:ascii="Times New Roman" w:hAnsi="Times New Roman"/>
          <w:sz w:val="28"/>
          <w:szCs w:val="28"/>
        </w:rPr>
      </w:pPr>
      <w:r w:rsidRPr="00CA5000">
        <w:rPr>
          <w:rFonts w:ascii="Times New Roman" w:hAnsi="Times New Roman"/>
          <w:b/>
          <w:sz w:val="28"/>
          <w:szCs w:val="28"/>
        </w:rPr>
        <w:t xml:space="preserve"> </w:t>
      </w:r>
      <w:r w:rsidR="00B42054" w:rsidRPr="00AB6DFE">
        <w:rPr>
          <w:rFonts w:ascii="Times New Roman" w:hAnsi="Times New Roman"/>
          <w:sz w:val="28"/>
          <w:szCs w:val="28"/>
        </w:rPr>
        <w:t>(далее – Проект)</w:t>
      </w:r>
    </w:p>
    <w:p w14:paraId="1BF54D53" w14:textId="77777777" w:rsidR="00700869" w:rsidRPr="00700869" w:rsidRDefault="00700869" w:rsidP="00700869">
      <w:pPr>
        <w:jc w:val="center"/>
        <w:rPr>
          <w:rFonts w:ascii="Times New Roman" w:hAnsi="Times New Roman"/>
          <w:sz w:val="28"/>
          <w:szCs w:val="28"/>
        </w:rPr>
      </w:pPr>
    </w:p>
    <w:p w14:paraId="2CA429F8" w14:textId="77777777" w:rsidR="0061517A" w:rsidRDefault="00B42054" w:rsidP="0061517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122A2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ab/>
      </w:r>
      <w:r w:rsidR="0061517A">
        <w:rPr>
          <w:rFonts w:ascii="Times New Roman" w:hAnsi="Times New Roman"/>
          <w:b/>
          <w:sz w:val="28"/>
          <w:szCs w:val="28"/>
        </w:rPr>
        <w:t>Оценка общественно-политических последствий:</w:t>
      </w:r>
    </w:p>
    <w:p w14:paraId="30EAC724" w14:textId="2FD6E4AD" w:rsidR="00CA5000" w:rsidRPr="00CA5000" w:rsidRDefault="00CA5000" w:rsidP="00CA5000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CA5000">
        <w:rPr>
          <w:rFonts w:ascii="Times New Roman" w:hAnsi="Times New Roman"/>
          <w:sz w:val="28"/>
          <w:szCs w:val="28"/>
        </w:rPr>
        <w:t xml:space="preserve">Проект не нарушает конституционные права и свободы граждан и направлен на повышение прозрачности налогового администрирования. </w:t>
      </w:r>
      <w:r w:rsidR="00584A43">
        <w:rPr>
          <w:rFonts w:ascii="Times New Roman" w:hAnsi="Times New Roman"/>
          <w:sz w:val="28"/>
          <w:szCs w:val="28"/>
        </w:rPr>
        <w:t xml:space="preserve">Проект </w:t>
      </w:r>
      <w:r w:rsidRPr="00CA5000">
        <w:rPr>
          <w:rFonts w:ascii="Times New Roman" w:hAnsi="Times New Roman"/>
          <w:sz w:val="28"/>
          <w:szCs w:val="28"/>
        </w:rPr>
        <w:t>касается исключительно доходов резидента юридического или физического лица Казахстана, полученных за рубежом. Проект исключает необходимость дополнительной налоговой проверки при наличии дохода из государств, включённых в список</w:t>
      </w:r>
      <w:r w:rsidR="00E14226">
        <w:rPr>
          <w:rFonts w:ascii="Times New Roman" w:hAnsi="Times New Roman"/>
          <w:sz w:val="28"/>
          <w:szCs w:val="28"/>
        </w:rPr>
        <w:t>, с которыми вступил в силу международный договор, регулирующий вопросы избежания двойного налогообложения и предотвращения уклонения от уплаты налогов.</w:t>
      </w:r>
    </w:p>
    <w:p w14:paraId="39E684D3" w14:textId="77777777" w:rsidR="0061517A" w:rsidRDefault="0061517A" w:rsidP="0061517A">
      <w:pPr>
        <w:tabs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</w:t>
      </w:r>
      <w:r>
        <w:rPr>
          <w:rFonts w:ascii="Times New Roman" w:hAnsi="Times New Roman"/>
          <w:b/>
          <w:sz w:val="28"/>
          <w:szCs w:val="28"/>
        </w:rPr>
        <w:tab/>
        <w:t>Оценка правовых последствий:</w:t>
      </w:r>
    </w:p>
    <w:p w14:paraId="5B8256D6" w14:textId="2844E697" w:rsidR="009C165C" w:rsidRDefault="00CA5000" w:rsidP="009C165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A5000">
        <w:rPr>
          <w:rFonts w:ascii="Times New Roman" w:hAnsi="Times New Roman"/>
          <w:sz w:val="28"/>
          <w:szCs w:val="28"/>
        </w:rPr>
        <w:t>Проект разработан в целях реализации подпункта 1) пункта 1 статьи</w:t>
      </w:r>
      <w:r w:rsidRPr="00CA5000">
        <w:rPr>
          <w:rFonts w:ascii="Times New Roman" w:hAnsi="Times New Roman"/>
          <w:sz w:val="28"/>
          <w:szCs w:val="28"/>
          <w:lang w:val="kk-KZ"/>
        </w:rPr>
        <w:t xml:space="preserve"> 332</w:t>
      </w:r>
      <w:r w:rsidRPr="00CA5000">
        <w:rPr>
          <w:rFonts w:ascii="Times New Roman" w:hAnsi="Times New Roman"/>
          <w:sz w:val="28"/>
          <w:szCs w:val="28"/>
        </w:rPr>
        <w:t xml:space="preserve"> Налогового кодекса Республики Казахстан. Соответственно, он не противоречит Конституции</w:t>
      </w:r>
      <w:r w:rsidR="00584A43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CA5000">
        <w:rPr>
          <w:rFonts w:ascii="Times New Roman" w:hAnsi="Times New Roman"/>
          <w:sz w:val="28"/>
          <w:szCs w:val="28"/>
        </w:rPr>
        <w:t xml:space="preserve"> и иным действующим нормативным правовым актам</w:t>
      </w:r>
      <w:r w:rsidR="00584A43">
        <w:rPr>
          <w:rFonts w:ascii="Times New Roman" w:hAnsi="Times New Roman"/>
          <w:sz w:val="28"/>
          <w:szCs w:val="28"/>
        </w:rPr>
        <w:t xml:space="preserve"> Республики Казахстан</w:t>
      </w:r>
      <w:r w:rsidRPr="00CA5000">
        <w:rPr>
          <w:rFonts w:ascii="Times New Roman" w:hAnsi="Times New Roman"/>
          <w:sz w:val="28"/>
          <w:szCs w:val="28"/>
        </w:rPr>
        <w:t>.</w:t>
      </w:r>
    </w:p>
    <w:p w14:paraId="324A34D2" w14:textId="77777777" w:rsidR="009C165C" w:rsidRDefault="009C165C" w:rsidP="009C165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вводит новых обязанностей или ограничений для налогоплательщиков, а только регулирует процесс, уже предусмотренный Налоговым кодексом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Республики Казахстан и </w:t>
      </w:r>
      <w:r w:rsidRPr="009C165C">
        <w:rPr>
          <w:rFonts w:ascii="Times New Roman" w:hAnsi="Times New Roman"/>
          <w:sz w:val="28"/>
          <w:szCs w:val="28"/>
        </w:rPr>
        <w:t>международным договором.</w:t>
      </w:r>
    </w:p>
    <w:p w14:paraId="63D93766" w14:textId="77918417" w:rsidR="009C165C" w:rsidRDefault="009C165C" w:rsidP="009C165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Проект способствует укреплению правовой ясности и предсказуемости в применении </w:t>
      </w:r>
      <w:r w:rsidR="00584A43" w:rsidRPr="00CA5000">
        <w:rPr>
          <w:rFonts w:ascii="Times New Roman" w:hAnsi="Times New Roman"/>
          <w:sz w:val="28"/>
          <w:szCs w:val="28"/>
        </w:rPr>
        <w:t>Налогового кодекса Республики Казахстан</w:t>
      </w:r>
      <w:r w:rsidR="00877A7D">
        <w:rPr>
          <w:rFonts w:ascii="Times New Roman" w:hAnsi="Times New Roman"/>
          <w:sz w:val="28"/>
          <w:szCs w:val="28"/>
        </w:rPr>
        <w:t xml:space="preserve"> и международного договора</w:t>
      </w:r>
      <w:r w:rsidR="00584A43">
        <w:rPr>
          <w:rFonts w:ascii="Times New Roman" w:hAnsi="Times New Roman"/>
          <w:sz w:val="28"/>
          <w:szCs w:val="28"/>
        </w:rPr>
        <w:t xml:space="preserve">, регулирующего вопросы избежания двойного </w:t>
      </w:r>
      <w:r w:rsidR="00FF084B">
        <w:rPr>
          <w:rFonts w:ascii="Times New Roman" w:hAnsi="Times New Roman"/>
          <w:sz w:val="28"/>
          <w:szCs w:val="28"/>
        </w:rPr>
        <w:t>налогообложения</w:t>
      </w:r>
      <w:r w:rsidR="00584A43">
        <w:rPr>
          <w:rFonts w:ascii="Times New Roman" w:hAnsi="Times New Roman"/>
          <w:sz w:val="28"/>
          <w:szCs w:val="28"/>
        </w:rPr>
        <w:t xml:space="preserve"> и предотвращения уклонения от уплаты налогов</w:t>
      </w:r>
      <w:r w:rsidR="00FF084B">
        <w:rPr>
          <w:rFonts w:ascii="Times New Roman" w:hAnsi="Times New Roman"/>
          <w:sz w:val="28"/>
          <w:szCs w:val="28"/>
        </w:rPr>
        <w:t>, одной из сторон которого является Республика Казахстан.</w:t>
      </w:r>
    </w:p>
    <w:p w14:paraId="1F2F3F77" w14:textId="77777777" w:rsidR="0061517A" w:rsidRDefault="0061517A" w:rsidP="009C165C">
      <w:pPr>
        <w:pStyle w:val="a3"/>
        <w:tabs>
          <w:tab w:val="left" w:pos="709"/>
          <w:tab w:val="left" w:pos="1134"/>
        </w:tabs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ab/>
        <w:t>Оценка информационных последствий: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</w:t>
      </w:r>
    </w:p>
    <w:p w14:paraId="72A271EC" w14:textId="64CFDCEA" w:rsidR="00877A7D" w:rsidRDefault="00C41F79" w:rsidP="00C41F79">
      <w:pPr>
        <w:pStyle w:val="docdata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1F79">
        <w:rPr>
          <w:color w:val="000000"/>
          <w:sz w:val="28"/>
          <w:szCs w:val="28"/>
          <w:lang w:val="kk-KZ"/>
        </w:rPr>
        <w:t>Информационные последствия по прое</w:t>
      </w:r>
      <w:r>
        <w:rPr>
          <w:color w:val="000000"/>
          <w:sz w:val="28"/>
          <w:szCs w:val="28"/>
          <w:lang w:val="kk-KZ"/>
        </w:rPr>
        <w:t>кту оцениваются как умеренные</w:t>
      </w:r>
      <w:r w:rsidR="004D0A81" w:rsidRPr="004D0A81">
        <w:rPr>
          <w:color w:val="000000"/>
          <w:sz w:val="28"/>
          <w:szCs w:val="28"/>
          <w:lang w:val="kk-KZ"/>
        </w:rPr>
        <w:t>, поскольку Проект</w:t>
      </w:r>
      <w:r w:rsidR="00A62E17">
        <w:rPr>
          <w:color w:val="000000"/>
          <w:sz w:val="28"/>
          <w:szCs w:val="28"/>
          <w:lang w:val="kk-KZ"/>
        </w:rPr>
        <w:t xml:space="preserve"> регламентирует утверждение спис</w:t>
      </w:r>
      <w:r w:rsidR="00D741D7">
        <w:rPr>
          <w:color w:val="000000"/>
          <w:sz w:val="28"/>
          <w:szCs w:val="28"/>
          <w:lang w:val="kk-KZ"/>
        </w:rPr>
        <w:t>к</w:t>
      </w:r>
      <w:r w:rsidR="00A62E17">
        <w:rPr>
          <w:color w:val="000000"/>
          <w:sz w:val="28"/>
          <w:szCs w:val="28"/>
          <w:lang w:val="kk-KZ"/>
        </w:rPr>
        <w:t>а</w:t>
      </w:r>
      <w:r w:rsidR="00D741D7">
        <w:rPr>
          <w:color w:val="000000"/>
          <w:sz w:val="28"/>
          <w:szCs w:val="28"/>
          <w:lang w:val="kk-KZ"/>
        </w:rPr>
        <w:t xml:space="preserve"> стран</w:t>
      </w:r>
      <w:r w:rsidR="00D741D7" w:rsidRPr="00D741D7">
        <w:rPr>
          <w:color w:val="000000"/>
          <w:sz w:val="28"/>
          <w:szCs w:val="28"/>
          <w:lang w:val="kk-KZ"/>
        </w:rPr>
        <w:t xml:space="preserve">, с которыми вступил в силу международный договор </w:t>
      </w:r>
      <w:r w:rsidR="00D741D7" w:rsidRPr="00D741D7">
        <w:rPr>
          <w:sz w:val="28"/>
          <w:szCs w:val="28"/>
        </w:rPr>
        <w:t xml:space="preserve">регулирующий вопросы </w:t>
      </w:r>
      <w:r w:rsidR="00FB477E">
        <w:rPr>
          <w:sz w:val="28"/>
          <w:szCs w:val="28"/>
        </w:rPr>
        <w:t>избежания</w:t>
      </w:r>
      <w:bookmarkStart w:id="0" w:name="_GoBack"/>
      <w:bookmarkEnd w:id="0"/>
      <w:r w:rsidR="00D741D7" w:rsidRPr="00D741D7">
        <w:rPr>
          <w:sz w:val="28"/>
          <w:szCs w:val="28"/>
        </w:rPr>
        <w:t xml:space="preserve"> двойного налогообложения и предотвращен</w:t>
      </w:r>
      <w:r w:rsidR="00877A7D">
        <w:rPr>
          <w:sz w:val="28"/>
          <w:szCs w:val="28"/>
        </w:rPr>
        <w:t xml:space="preserve">ия уклонения от уплаты налогов </w:t>
      </w:r>
      <w:r w:rsidR="00877A7D" w:rsidRPr="001E73C3">
        <w:rPr>
          <w:sz w:val="28"/>
          <w:szCs w:val="28"/>
        </w:rPr>
        <w:t xml:space="preserve">в целях совершенствования </w:t>
      </w:r>
      <w:r w:rsidR="00877A7D">
        <w:rPr>
          <w:sz w:val="28"/>
          <w:szCs w:val="28"/>
        </w:rPr>
        <w:t xml:space="preserve">администрирования контролируемых иностранных компании (КИК), что в результате повлечет </w:t>
      </w:r>
      <w:r w:rsidR="00877A7D" w:rsidRPr="001E73C3">
        <w:rPr>
          <w:sz w:val="28"/>
          <w:szCs w:val="28"/>
        </w:rPr>
        <w:t>сокра</w:t>
      </w:r>
      <w:r w:rsidR="00877A7D">
        <w:rPr>
          <w:sz w:val="28"/>
          <w:szCs w:val="28"/>
        </w:rPr>
        <w:t xml:space="preserve">щению </w:t>
      </w:r>
      <w:r w:rsidR="00877A7D" w:rsidRPr="001E73C3">
        <w:rPr>
          <w:sz w:val="28"/>
          <w:szCs w:val="28"/>
        </w:rPr>
        <w:t>дол</w:t>
      </w:r>
      <w:r w:rsidR="00877A7D">
        <w:rPr>
          <w:sz w:val="28"/>
          <w:szCs w:val="28"/>
        </w:rPr>
        <w:t>и</w:t>
      </w:r>
      <w:r w:rsidR="00877A7D" w:rsidRPr="001E73C3">
        <w:rPr>
          <w:sz w:val="28"/>
          <w:szCs w:val="28"/>
        </w:rPr>
        <w:t xml:space="preserve"> теневой экономики</w:t>
      </w:r>
      <w:r w:rsidR="00A62E17">
        <w:rPr>
          <w:sz w:val="28"/>
          <w:szCs w:val="28"/>
        </w:rPr>
        <w:t>.</w:t>
      </w:r>
    </w:p>
    <w:p w14:paraId="5907FCEC" w14:textId="0D293BE4" w:rsidR="00A62E17" w:rsidRPr="00A62E17" w:rsidRDefault="00A62E17" w:rsidP="00A62E17">
      <w:pPr>
        <w:pStyle w:val="docdata"/>
        <w:tabs>
          <w:tab w:val="left" w:pos="709"/>
          <w:tab w:val="left" w:pos="1134"/>
        </w:tabs>
        <w:spacing w:before="0" w:beforeAutospacing="0" w:after="0" w:afterAutospacing="0"/>
        <w:ind w:firstLine="709"/>
        <w:jc w:val="both"/>
        <w:rPr>
          <w:rFonts w:eastAsia="Calibri"/>
          <w:sz w:val="32"/>
          <w:szCs w:val="28"/>
          <w:lang w:val="kk-KZ" w:eastAsia="en-US"/>
        </w:rPr>
      </w:pPr>
      <w:r w:rsidRPr="008067AF">
        <w:rPr>
          <w:color w:val="000000"/>
          <w:sz w:val="28"/>
          <w:szCs w:val="28"/>
        </w:rPr>
        <w:t>Кроме того, в случае необходимости будет предоставлен пресс-релиз по данной теме, в части пр</w:t>
      </w:r>
      <w:r>
        <w:rPr>
          <w:color w:val="000000"/>
          <w:sz w:val="28"/>
          <w:szCs w:val="28"/>
        </w:rPr>
        <w:t>оведения разъяснительной работы</w:t>
      </w:r>
      <w:r w:rsidRPr="00D1028A">
        <w:rPr>
          <w:color w:val="000000"/>
          <w:sz w:val="28"/>
          <w:szCs w:val="28"/>
        </w:rPr>
        <w:t>.</w:t>
      </w:r>
    </w:p>
    <w:p w14:paraId="5CF965B1" w14:textId="00BC7603" w:rsidR="0061517A" w:rsidRDefault="0061517A" w:rsidP="004D0A81">
      <w:pPr>
        <w:tabs>
          <w:tab w:val="left" w:pos="1134"/>
        </w:tabs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>
        <w:rPr>
          <w:rFonts w:ascii="Times New Roman" w:hAnsi="Times New Roman"/>
          <w:b/>
          <w:sz w:val="28"/>
          <w:szCs w:val="28"/>
        </w:rPr>
        <w:tab/>
        <w:t>Оценка иных последствий:</w:t>
      </w:r>
    </w:p>
    <w:p w14:paraId="66BF13FC" w14:textId="77777777" w:rsidR="00D741D7" w:rsidRDefault="00D741D7" w:rsidP="00D741D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не повлечет дополнительных расходов из республиканского бюджета, не оказывает негативного влияния на предпринимательскую среду, конкуренцию или экологическую ситуацию.</w:t>
      </w:r>
    </w:p>
    <w:p w14:paraId="4B6E9ED6" w14:textId="64AC2656" w:rsidR="00D741D7" w:rsidRDefault="00E14226" w:rsidP="00D741D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Проект направлен</w:t>
      </w:r>
      <w:r w:rsidR="00D741D7">
        <w:rPr>
          <w:rFonts w:ascii="Times New Roman" w:hAnsi="Times New Roman"/>
          <w:sz w:val="28"/>
          <w:szCs w:val="28"/>
        </w:rPr>
        <w:t xml:space="preserve"> на техническое</w:t>
      </w:r>
      <w:r>
        <w:rPr>
          <w:rFonts w:ascii="Times New Roman" w:hAnsi="Times New Roman"/>
          <w:sz w:val="28"/>
          <w:szCs w:val="28"/>
        </w:rPr>
        <w:t xml:space="preserve"> уточнение норм и не предполагае</w:t>
      </w:r>
      <w:r w:rsidR="00D741D7">
        <w:rPr>
          <w:rFonts w:ascii="Times New Roman" w:hAnsi="Times New Roman"/>
          <w:sz w:val="28"/>
          <w:szCs w:val="28"/>
        </w:rPr>
        <w:t>т организационных или институциональных реформ.</w:t>
      </w:r>
    </w:p>
    <w:p w14:paraId="6DD04DFB" w14:textId="77777777" w:rsidR="007C56DB" w:rsidRDefault="00D741D7" w:rsidP="007C56DB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последствия не прогнозируются.</w:t>
      </w:r>
    </w:p>
    <w:p w14:paraId="6B4C9902" w14:textId="77777777" w:rsidR="007C56DB" w:rsidRDefault="007C56DB" w:rsidP="007C56D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496C142" w14:textId="77777777" w:rsidR="007C56DB" w:rsidRDefault="007C56DB" w:rsidP="007C56DB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5680F198" w14:textId="77777777" w:rsidR="00705110" w:rsidRPr="009F6C94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9F6C94">
        <w:rPr>
          <w:rFonts w:ascii="Times New Roman" w:hAnsi="Times New Roman"/>
          <w:b/>
          <w:sz w:val="28"/>
          <w:szCs w:val="28"/>
          <w:lang w:val="kk-KZ"/>
        </w:rPr>
        <w:t>Министр финансов</w:t>
      </w:r>
    </w:p>
    <w:p w14:paraId="2BC12E5C" w14:textId="77777777" w:rsidR="009F60E6" w:rsidRDefault="00705110" w:rsidP="00705110">
      <w:pPr>
        <w:ind w:firstLine="709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Республики Казахстан                                                          М. Такиев</w:t>
      </w:r>
    </w:p>
    <w:p w14:paraId="2D1C469B" w14:textId="77777777" w:rsidR="00D741D7" w:rsidRPr="00705110" w:rsidRDefault="00D741D7" w:rsidP="00877A7D">
      <w:pPr>
        <w:jc w:val="both"/>
        <w:rPr>
          <w:lang w:val="kk-KZ"/>
        </w:rPr>
      </w:pPr>
    </w:p>
    <w:sectPr w:rsidR="00D741D7" w:rsidRPr="00705110" w:rsidSect="00A62E17">
      <w:headerReference w:type="default" r:id="rId6"/>
      <w:pgSz w:w="11906" w:h="16838"/>
      <w:pgMar w:top="142" w:right="851" w:bottom="425" w:left="1418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26.01.2026 16:35 Молдабеков Санжар Мухтарулы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406916" w16cex:dateUtc="2025-08-08T07:16:00Z"/>
  <w16cex:commentExtensible w16cex:durableId="2C406950" w16cex:dateUtc="2025-08-08T07:17:00Z"/>
  <w16cex:commentExtensible w16cex:durableId="2C40699C" w16cex:dateUtc="2025-08-08T07:18:00Z"/>
  <w16cex:commentExtensible w16cex:durableId="2C4069AB" w16cex:dateUtc="2025-08-08T07:18:00Z"/>
  <w16cex:commentExtensible w16cex:durableId="2C4069B6" w16cex:dateUtc="2025-08-08T07:19:00Z"/>
  <w16cex:commentExtensible w16cex:durableId="2C406A0F" w16cex:dateUtc="2025-08-08T07:20:00Z"/>
  <w16cex:commentExtensible w16cex:durableId="2C406A20" w16cex:dateUtc="2025-08-08T07:20:00Z"/>
  <w16cex:commentExtensible w16cex:durableId="2C406A57" w16cex:dateUtc="2025-08-08T07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C65782" w16cid:durableId="2C406916"/>
  <w16cid:commentId w16cid:paraId="4FB8E52D" w16cid:durableId="2C406950"/>
  <w16cid:commentId w16cid:paraId="2E02D369" w16cid:durableId="2C40699C"/>
  <w16cid:commentId w16cid:paraId="23D892C6" w16cid:durableId="2C4069AB"/>
  <w16cid:commentId w16cid:paraId="148A4509" w16cid:durableId="2C4069B6"/>
  <w16cid:commentId w16cid:paraId="6C8B9CF0" w16cid:durableId="2C406A0F"/>
  <w16cid:commentId w16cid:paraId="61862E3D" w16cid:durableId="2C406A20"/>
  <w16cid:commentId w16cid:paraId="47FD5BEA" w16cid:durableId="2C406A5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68B961" w14:textId="77777777" w:rsidR="00151A67" w:rsidRDefault="00151A67" w:rsidP="00C21439">
      <w:r>
        <w:separator/>
      </w:r>
    </w:p>
  </w:endnote>
  <w:endnote w:type="continuationSeparator" w:id="0">
    <w:p w14:paraId="138159A4" w14:textId="77777777" w:rsidR="00151A67" w:rsidRDefault="00151A67" w:rsidP="00C21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27.01.2026 15:10.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541DE0" w14:textId="77777777" w:rsidR="00151A67" w:rsidRDefault="00151A67" w:rsidP="00C21439">
      <w:r>
        <w:separator/>
      </w:r>
    </w:p>
  </w:footnote>
  <w:footnote w:type="continuationSeparator" w:id="0">
    <w:p w14:paraId="5200B06F" w14:textId="77777777" w:rsidR="00151A67" w:rsidRDefault="00151A67" w:rsidP="00C21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604656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F992037" w14:textId="64589EEA" w:rsidR="00C21439" w:rsidRPr="00C21439" w:rsidRDefault="00C21439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C21439">
          <w:rPr>
            <w:rFonts w:ascii="Times New Roman" w:hAnsi="Times New Roman"/>
            <w:sz w:val="28"/>
            <w:szCs w:val="28"/>
          </w:rPr>
          <w:fldChar w:fldCharType="begin"/>
        </w:r>
        <w:r w:rsidRPr="00C2143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21439">
          <w:rPr>
            <w:rFonts w:ascii="Times New Roman" w:hAnsi="Times New Roman"/>
            <w:sz w:val="28"/>
            <w:szCs w:val="28"/>
          </w:rPr>
          <w:fldChar w:fldCharType="separate"/>
        </w:r>
        <w:r w:rsidR="00FB477E">
          <w:rPr>
            <w:rFonts w:ascii="Times New Roman" w:hAnsi="Times New Roman"/>
            <w:noProof/>
            <w:sz w:val="28"/>
            <w:szCs w:val="28"/>
          </w:rPr>
          <w:t>2</w:t>
        </w:r>
        <w:r w:rsidRPr="00C2143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075C529" w14:textId="77777777" w:rsidR="00C21439" w:rsidRDefault="00C21439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финансов Республики Казахстан - Бимендин Н.Р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57E"/>
    <w:rsid w:val="00011E20"/>
    <w:rsid w:val="00034DC7"/>
    <w:rsid w:val="000A406D"/>
    <w:rsid w:val="000B0BA7"/>
    <w:rsid w:val="000C0C9B"/>
    <w:rsid w:val="000F5577"/>
    <w:rsid w:val="00101FA6"/>
    <w:rsid w:val="00121FBC"/>
    <w:rsid w:val="001417D5"/>
    <w:rsid w:val="00151A67"/>
    <w:rsid w:val="001567BB"/>
    <w:rsid w:val="0016154F"/>
    <w:rsid w:val="00167BB1"/>
    <w:rsid w:val="001826D1"/>
    <w:rsid w:val="00246AE1"/>
    <w:rsid w:val="0029128E"/>
    <w:rsid w:val="002E557E"/>
    <w:rsid w:val="002F0D2A"/>
    <w:rsid w:val="002F6200"/>
    <w:rsid w:val="00354C00"/>
    <w:rsid w:val="00394C80"/>
    <w:rsid w:val="003C6DAC"/>
    <w:rsid w:val="003E3E0A"/>
    <w:rsid w:val="00400C6B"/>
    <w:rsid w:val="004B5641"/>
    <w:rsid w:val="004B6D87"/>
    <w:rsid w:val="004D0A81"/>
    <w:rsid w:val="0051028F"/>
    <w:rsid w:val="005201CD"/>
    <w:rsid w:val="00536E05"/>
    <w:rsid w:val="0054503C"/>
    <w:rsid w:val="00584A43"/>
    <w:rsid w:val="005D79F8"/>
    <w:rsid w:val="0061517A"/>
    <w:rsid w:val="00643C00"/>
    <w:rsid w:val="006B0794"/>
    <w:rsid w:val="006B37D9"/>
    <w:rsid w:val="006F40F8"/>
    <w:rsid w:val="00700869"/>
    <w:rsid w:val="00705110"/>
    <w:rsid w:val="00724599"/>
    <w:rsid w:val="00754D65"/>
    <w:rsid w:val="007C56DB"/>
    <w:rsid w:val="007E4289"/>
    <w:rsid w:val="00817205"/>
    <w:rsid w:val="0083037A"/>
    <w:rsid w:val="00834F0F"/>
    <w:rsid w:val="008521E8"/>
    <w:rsid w:val="008611E5"/>
    <w:rsid w:val="00877A7D"/>
    <w:rsid w:val="008D39A7"/>
    <w:rsid w:val="0098053A"/>
    <w:rsid w:val="00994F2B"/>
    <w:rsid w:val="009C165C"/>
    <w:rsid w:val="009F60E6"/>
    <w:rsid w:val="00A62E17"/>
    <w:rsid w:val="00A87003"/>
    <w:rsid w:val="00B1128C"/>
    <w:rsid w:val="00B21A13"/>
    <w:rsid w:val="00B42054"/>
    <w:rsid w:val="00BC1BE0"/>
    <w:rsid w:val="00BC2E96"/>
    <w:rsid w:val="00BD1CFD"/>
    <w:rsid w:val="00C21439"/>
    <w:rsid w:val="00C41F79"/>
    <w:rsid w:val="00C42749"/>
    <w:rsid w:val="00C60F22"/>
    <w:rsid w:val="00C7243A"/>
    <w:rsid w:val="00CA5000"/>
    <w:rsid w:val="00D1069D"/>
    <w:rsid w:val="00D741D7"/>
    <w:rsid w:val="00D939C9"/>
    <w:rsid w:val="00E14226"/>
    <w:rsid w:val="00E61F25"/>
    <w:rsid w:val="00E67B8E"/>
    <w:rsid w:val="00EC3C7A"/>
    <w:rsid w:val="00ED6A30"/>
    <w:rsid w:val="00F9641B"/>
    <w:rsid w:val="00FB477E"/>
    <w:rsid w:val="00FC2E39"/>
    <w:rsid w:val="00FF084B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A9ED4"/>
  <w15:chartTrackingRefBased/>
  <w15:docId w15:val="{F1F3FDF8-0FB1-4E7B-BC77-0340B9001478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2B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B4205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ocdata">
    <w:name w:val="docdata"/>
    <w:aliases w:val="docy,v5,3527,bqiaagaaeyqcaaagiaiaaamdcwaabsslaaaaaaaaaaaaaaaaaaaaaaaaaaaaaaaaaaaaaaaaaaaaaaaaaaaaaaaaaaaaaaaaaaaaaaaaaaaaaaaaaaaaaaaaaaaaaaaaaaaaaaaaaaaaaaaaaaaaaaaaaaaaaaaaaaaaaaaaaaaaaaaaaaaaaaaaaaaaaaaaaaaaaaaaaaaaaaaaaaaaaaaaaaaaaaaaaaaaaaaa"/>
    <w:basedOn w:val="a"/>
    <w:rsid w:val="009F60E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459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4599"/>
    <w:rPr>
      <w:rFonts w:ascii="Segoe UI" w:eastAsia="Calibr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214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143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214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21439"/>
    <w:rPr>
      <w:rFonts w:ascii="Calibri" w:eastAsia="Calibri" w:hAnsi="Calibri" w:cs="Times New Roman"/>
    </w:rPr>
  </w:style>
  <w:style w:type="character" w:styleId="aa">
    <w:name w:val="annotation reference"/>
    <w:basedOn w:val="a0"/>
    <w:uiPriority w:val="99"/>
    <w:semiHidden/>
    <w:unhideWhenUsed/>
    <w:rsid w:val="00FC2E3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C2E39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C2E39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C2E3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C2E39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50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8/08/relationships/commentsExtensible" Target="commentsExtensib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06" Type="http://schemas.openxmlformats.org/officeDocument/2006/relationships/image" Target="media/image906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Каримова Галия Кадыржановна</dc:creator>
  <cp:keywords/>
  <dc:description/>
  <cp:lastModifiedBy>Олжас Қасым Саржанұлы</cp:lastModifiedBy>
  <cp:revision>22</cp:revision>
  <cp:lastPrinted>2026-01-19T07:08:00Z</cp:lastPrinted>
  <dcterms:created xsi:type="dcterms:W3CDTF">2025-07-31T11:45:00Z</dcterms:created>
  <dcterms:modified xsi:type="dcterms:W3CDTF">2026-01-19T12:51:00Z</dcterms:modified>
</cp:coreProperties>
</file>